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《甘洒热血写春秋》微课教案</w:t>
      </w:r>
    </w:p>
    <w:tbl>
      <w:tblPr>
        <w:tblStyle w:val="4"/>
        <w:tblW w:w="940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3"/>
        <w:gridCol w:w="2024"/>
        <w:gridCol w:w="369"/>
        <w:gridCol w:w="971"/>
        <w:gridCol w:w="432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73" w:lineRule="auto"/>
              <w:jc w:val="center"/>
              <w:rPr>
                <w:rFonts w:hint="eastAsia" w:ascii="仿宋_GB2312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姓   名</w:t>
            </w:r>
          </w:p>
        </w:tc>
        <w:tc>
          <w:tcPr>
            <w:tcW w:w="20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华文行楷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华文行楷"/>
                <w:sz w:val="24"/>
                <w:szCs w:val="24"/>
                <w:lang w:val="en-US" w:eastAsia="zh-CN"/>
              </w:rPr>
              <w:t>罗 鸣</w:t>
            </w:r>
          </w:p>
        </w:tc>
        <w:tc>
          <w:tcPr>
            <w:tcW w:w="13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3" w:lineRule="auto"/>
              <w:jc w:val="center"/>
              <w:rPr>
                <w:rFonts w:hint="default" w:ascii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 xml:space="preserve">学  </w:t>
            </w:r>
            <w:bookmarkStart w:id="0" w:name="_GoBack"/>
            <w:bookmarkEnd w:id="0"/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校</w:t>
            </w:r>
          </w:p>
        </w:tc>
        <w:tc>
          <w:tcPr>
            <w:tcW w:w="43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3" w:lineRule="auto"/>
              <w:jc w:val="center"/>
              <w:rPr>
                <w:rFonts w:hint="default" w:ascii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成都高新区西芯小学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73" w:lineRule="auto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ascii="仿宋_GB2312"/>
                <w:sz w:val="24"/>
                <w:szCs w:val="24"/>
              </w:rPr>
              <w:t>学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ascii="仿宋_GB2312"/>
                <w:sz w:val="24"/>
                <w:szCs w:val="24"/>
              </w:rPr>
              <w:t>科</w:t>
            </w:r>
          </w:p>
        </w:tc>
        <w:tc>
          <w:tcPr>
            <w:tcW w:w="769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both"/>
              <w:rPr>
                <w:rFonts w:hint="eastAsia" w:ascii="华文行楷"/>
                <w:sz w:val="24"/>
                <w:szCs w:val="24"/>
              </w:rPr>
            </w:pPr>
            <w:r>
              <w:rPr>
                <w:rFonts w:hint="eastAsia" w:ascii="华文行楷"/>
                <w:sz w:val="24"/>
                <w:szCs w:val="24"/>
              </w:rPr>
              <w:t>小学音乐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73" w:lineRule="auto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教学内容</w:t>
            </w:r>
          </w:p>
        </w:tc>
        <w:tc>
          <w:tcPr>
            <w:tcW w:w="769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both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《甘洒热血写春秋》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73" w:lineRule="auto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教学目标</w:t>
            </w:r>
          </w:p>
        </w:tc>
        <w:tc>
          <w:tcPr>
            <w:tcW w:w="769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3" w:lineRule="auto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1.知识与技能目标：</w:t>
            </w:r>
            <w:r>
              <w:rPr>
                <w:rFonts w:ascii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/>
                <w:sz w:val="24"/>
                <w:szCs w:val="24"/>
              </w:rPr>
              <w:t>能够用戏腔准确模仿《甘洒热血写春秋》中锣鼓经的念法，掌握伴奏乐器在锣鼓经中分别对应的拟声字。</w:t>
            </w:r>
          </w:p>
          <w:p>
            <w:pPr>
              <w:spacing w:line="273" w:lineRule="auto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2.过程与方法目标：通过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学习锣鼓经的念法，循序渐进接触京剧的“唱、念、做、打”</w:t>
            </w:r>
            <w:r>
              <w:rPr>
                <w:rFonts w:hint="eastAsia" w:ascii="仿宋_GB2312"/>
                <w:sz w:val="24"/>
                <w:szCs w:val="24"/>
              </w:rPr>
              <w:t>，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加强对于锣鼓经的学习，在曲艺学习中</w:t>
            </w:r>
            <w:r>
              <w:rPr>
                <w:rFonts w:hint="eastAsia" w:ascii="仿宋_GB2312"/>
                <w:sz w:val="24"/>
                <w:szCs w:val="24"/>
              </w:rPr>
              <w:t>享受艺术表现的乐趣。</w:t>
            </w:r>
            <w:r>
              <w:rPr>
                <w:rFonts w:ascii="仿宋_GB2312"/>
                <w:sz w:val="24"/>
                <w:szCs w:val="24"/>
              </w:rPr>
              <w:t xml:space="preserve"> </w:t>
            </w:r>
          </w:p>
          <w:p>
            <w:pPr>
              <w:spacing w:line="273" w:lineRule="auto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3.情感与价值观目标：感受京剧的特色和韵味，品味中华国粹的魅力，增强民族文化自信，形成正确的国家观、文化观。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73" w:lineRule="auto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教学重点</w:t>
            </w:r>
          </w:p>
        </w:tc>
        <w:tc>
          <w:tcPr>
            <w:tcW w:w="769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3" w:lineRule="auto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掌握锣鼓经的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概念及其念法</w:t>
            </w:r>
            <w:r>
              <w:rPr>
                <w:rFonts w:hint="eastAsia" w:ascii="仿宋_GB2312"/>
                <w:sz w:val="24"/>
                <w:szCs w:val="24"/>
              </w:rPr>
              <w:t>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73" w:lineRule="auto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教学难点</w:t>
            </w:r>
          </w:p>
        </w:tc>
        <w:tc>
          <w:tcPr>
            <w:tcW w:w="769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3" w:lineRule="auto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正确掌握锣鼓经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的念法</w:t>
            </w:r>
            <w:r>
              <w:rPr>
                <w:rFonts w:hint="eastAsia" w:ascii="华文新魏"/>
                <w:sz w:val="24"/>
                <w:szCs w:val="24"/>
              </w:rPr>
              <w:t>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  <w:jc w:val="center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73" w:lineRule="auto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ascii="仿宋_GB2312"/>
                <w:sz w:val="24"/>
                <w:szCs w:val="24"/>
              </w:rPr>
              <w:t>设计思路</w:t>
            </w:r>
          </w:p>
        </w:tc>
        <w:tc>
          <w:tcPr>
            <w:tcW w:w="769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73" w:lineRule="auto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本节微课设计思路分为三个部分：</w:t>
            </w:r>
          </w:p>
          <w:p>
            <w:pPr>
              <w:adjustRightInd w:val="0"/>
              <w:snapToGrid w:val="0"/>
              <w:spacing w:line="273" w:lineRule="auto"/>
              <w:ind w:firstLine="480" w:firstLineChars="20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一、新课导入。</w:t>
            </w:r>
            <w:r>
              <w:rPr>
                <w:rFonts w:hint="eastAsia" w:ascii="华文行楷"/>
                <w:sz w:val="24"/>
                <w:szCs w:val="24"/>
              </w:rPr>
              <w:t>简要介绍</w:t>
            </w:r>
            <w:r>
              <w:rPr>
                <w:rFonts w:hint="eastAsia" w:ascii="仿宋_GB2312"/>
                <w:sz w:val="24"/>
                <w:szCs w:val="24"/>
              </w:rPr>
              <w:t>《甘洒热血写春秋》的故事背景，初次聆听京剧选段，概括京剧选段的唱腔特点，指出伴奏乐器类型。</w:t>
            </w:r>
          </w:p>
          <w:p>
            <w:pPr>
              <w:adjustRightInd w:val="0"/>
              <w:snapToGrid w:val="0"/>
              <w:spacing w:line="273" w:lineRule="auto"/>
              <w:ind w:firstLine="480" w:firstLineChars="200"/>
              <w:jc w:val="left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</w:rPr>
              <w:t>二、内容讲授。</w:t>
            </w:r>
            <w:r>
              <w:rPr>
                <w:rFonts w:hint="eastAsia" w:ascii="华文行楷"/>
                <w:sz w:val="24"/>
                <w:szCs w:val="24"/>
              </w:rPr>
              <w:t>详细介绍锣鼓经的概念及</w:t>
            </w:r>
            <w:r>
              <w:rPr>
                <w:rFonts w:hint="eastAsia" w:ascii="华文行楷"/>
                <w:sz w:val="24"/>
                <w:szCs w:val="24"/>
                <w:lang w:val="en-US" w:eastAsia="zh-CN"/>
              </w:rPr>
              <w:t>念</w:t>
            </w:r>
            <w:r>
              <w:rPr>
                <w:rFonts w:hint="eastAsia" w:ascii="华文行楷"/>
                <w:sz w:val="24"/>
                <w:szCs w:val="24"/>
              </w:rPr>
              <w:t>法，分别通过教师清唱示范</w:t>
            </w:r>
            <w:r>
              <w:rPr>
                <w:rFonts w:hint="eastAsia" w:ascii="华文行楷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华文行楷"/>
                <w:sz w:val="24"/>
                <w:szCs w:val="24"/>
                <w:lang w:val="en-US" w:eastAsia="zh-CN"/>
              </w:rPr>
              <w:t>加入声势练习，</w:t>
            </w:r>
            <w:r>
              <w:rPr>
                <w:rFonts w:hint="eastAsia" w:ascii="华文行楷"/>
                <w:sz w:val="24"/>
                <w:szCs w:val="24"/>
              </w:rPr>
              <w:t>加深对选段的理解</w:t>
            </w:r>
            <w:r>
              <w:rPr>
                <w:rFonts w:hint="eastAsia" w:ascii="华文行楷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华文行楷"/>
                <w:sz w:val="24"/>
                <w:szCs w:val="24"/>
              </w:rPr>
              <w:t>引入京剧</w:t>
            </w:r>
            <w:r>
              <w:rPr>
                <w:rFonts w:hint="eastAsia" w:ascii="华文新魏"/>
                <w:sz w:val="24"/>
                <w:szCs w:val="24"/>
              </w:rPr>
              <w:t>“唱、念、做、打”的基本功概念，通过教授学生最基础的基本动作，让学生在演唱和舞蹈的结合过程中进一步体会京剧的魅力。</w:t>
            </w:r>
          </w:p>
          <w:p>
            <w:pPr>
              <w:adjustRightInd w:val="0"/>
              <w:snapToGrid w:val="0"/>
              <w:spacing w:line="273" w:lineRule="auto"/>
              <w:ind w:firstLine="480" w:firstLineChars="200"/>
              <w:jc w:val="left"/>
            </w:pPr>
            <w:r>
              <w:rPr>
                <w:rFonts w:hint="eastAsia"/>
                <w:sz w:val="24"/>
                <w:szCs w:val="24"/>
              </w:rPr>
              <w:t>三、总结课程。</w:t>
            </w:r>
            <w:r>
              <w:rPr>
                <w:rFonts w:hint="eastAsia" w:ascii="华文新魏"/>
                <w:sz w:val="24"/>
                <w:szCs w:val="24"/>
              </w:rPr>
              <w:t>升华主旨，引出对传统艺术的保护和传承。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940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273" w:lineRule="auto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b/>
                <w:bCs/>
                <w:sz w:val="24"/>
                <w:szCs w:val="24"/>
              </w:rPr>
              <w:t>微课</w:t>
            </w:r>
            <w:r>
              <w:rPr>
                <w:rFonts w:ascii="仿宋_GB2312"/>
                <w:b/>
                <w:bCs/>
                <w:sz w:val="24"/>
                <w:szCs w:val="24"/>
              </w:rPr>
              <w:t>教学过程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3" w:lineRule="auto"/>
              <w:ind w:left="1001" w:hanging="1000" w:hangingChars="417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ascii="仿宋_GB2312"/>
                <w:sz w:val="24"/>
                <w:szCs w:val="24"/>
              </w:rPr>
              <w:t>项目</w:t>
            </w:r>
          </w:p>
        </w:tc>
        <w:tc>
          <w:tcPr>
            <w:tcW w:w="23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3" w:lineRule="auto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ascii="仿宋_GB2312"/>
                <w:sz w:val="24"/>
                <w:szCs w:val="24"/>
              </w:rPr>
              <w:t>内 容</w:t>
            </w:r>
          </w:p>
        </w:tc>
        <w:tc>
          <w:tcPr>
            <w:tcW w:w="529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3" w:lineRule="auto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过程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spacing w:line="400" w:lineRule="exact"/>
              <w:ind w:left="34" w:leftChars="16"/>
              <w:jc w:val="center"/>
              <w:rPr>
                <w:rFonts w:ascii="华文行楷"/>
                <w:sz w:val="24"/>
                <w:szCs w:val="24"/>
              </w:rPr>
            </w:pPr>
            <w:r>
              <w:rPr>
                <w:rFonts w:hint="eastAsia" w:ascii="华文行楷"/>
                <w:sz w:val="24"/>
                <w:szCs w:val="24"/>
              </w:rPr>
              <w:t>新课导入</w:t>
            </w:r>
          </w:p>
        </w:tc>
        <w:tc>
          <w:tcPr>
            <w:tcW w:w="23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华文行楷"/>
                <w:sz w:val="24"/>
                <w:szCs w:val="24"/>
              </w:rPr>
            </w:pPr>
            <w:r>
              <w:rPr>
                <w:rFonts w:hint="eastAsia" w:ascii="华文行楷"/>
                <w:sz w:val="24"/>
                <w:szCs w:val="24"/>
              </w:rPr>
              <w:t>简要介绍</w:t>
            </w:r>
            <w:r>
              <w:rPr>
                <w:rFonts w:hint="eastAsia" w:ascii="仿宋_GB2312"/>
                <w:sz w:val="24"/>
                <w:szCs w:val="24"/>
              </w:rPr>
              <w:t>《甘洒热血写春秋》的故事背景，初次聆听京剧选段，概括京剧选段的唱腔特点，指出伴奏乐器类型。</w:t>
            </w:r>
          </w:p>
        </w:tc>
        <w:tc>
          <w:tcPr>
            <w:tcW w:w="529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华文新魏"/>
                <w:b/>
                <w:bCs/>
                <w:sz w:val="24"/>
                <w:szCs w:val="24"/>
              </w:rPr>
            </w:pPr>
            <w:r>
              <w:rPr>
                <w:rFonts w:hint="eastAsia" w:ascii="华文新魏"/>
                <w:b/>
                <w:bCs/>
                <w:sz w:val="24"/>
                <w:szCs w:val="24"/>
              </w:rPr>
              <w:t>教师：</w:t>
            </w:r>
          </w:p>
          <w:p>
            <w:pPr>
              <w:adjustRightInd w:val="0"/>
              <w:snapToGrid w:val="0"/>
              <w:spacing w:line="400" w:lineRule="exact"/>
              <w:ind w:firstLine="480" w:firstLineChars="200"/>
              <w:jc w:val="left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华文新魏"/>
                <w:sz w:val="24"/>
                <w:szCs w:val="24"/>
              </w:rPr>
              <w:t>各位同学大家好，欢迎来到今天的音乐微课堂。今天我们要欣赏</w:t>
            </w:r>
            <w:r>
              <w:rPr>
                <w:rFonts w:hint="eastAsia" w:ascii="华文新魏"/>
                <w:sz w:val="24"/>
                <w:szCs w:val="24"/>
                <w:lang w:val="en-US" w:eastAsia="zh-CN"/>
              </w:rPr>
              <w:t>一段选自</w:t>
            </w:r>
            <w:r>
              <w:rPr>
                <w:rFonts w:hint="eastAsia" w:ascii="仿宋_GB2312"/>
                <w:sz w:val="24"/>
                <w:szCs w:val="24"/>
              </w:rPr>
              <w:t>《智取威虎山》</w:t>
            </w:r>
            <w:r>
              <w:rPr>
                <w:rFonts w:hint="eastAsia" w:ascii="华文新魏"/>
                <w:sz w:val="24"/>
                <w:szCs w:val="24"/>
              </w:rPr>
              <w:t>的京剧唱段</w:t>
            </w:r>
            <w:r>
              <w:rPr>
                <w:rFonts w:hint="eastAsia" w:ascii="仿宋_GB2312"/>
                <w:sz w:val="24"/>
                <w:szCs w:val="24"/>
              </w:rPr>
              <w:t>《甘洒热血写春秋》，讲述了我军某部团</w:t>
            </w:r>
            <w:r>
              <w:rPr>
                <w:rFonts w:hint="eastAsia" w:ascii="仿宋_GB2312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/>
                <w:sz w:val="24"/>
                <w:szCs w:val="24"/>
              </w:rPr>
              <w:t>侦察排长</w:t>
            </w:r>
            <w:r>
              <w:rPr>
                <w:rFonts w:hint="eastAsia" w:ascii="仿宋_GB2312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/>
                <w:sz w:val="24"/>
                <w:szCs w:val="24"/>
              </w:rPr>
              <w:t>杨子荣改扮成土匪打入威虎山，最终歼灭匪众的故事。下面，让我们先来聆听一遍唱段，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用你们得聆耳朵和亮眼睛来发现</w:t>
            </w:r>
            <w:r>
              <w:rPr>
                <w:rFonts w:hint="eastAsia" w:ascii="仿宋_GB2312"/>
                <w:sz w:val="24"/>
                <w:szCs w:val="24"/>
              </w:rPr>
              <w:t>其中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有</w:t>
            </w:r>
            <w:r>
              <w:rPr>
                <w:rFonts w:hint="eastAsia" w:ascii="仿宋_GB2312"/>
                <w:sz w:val="24"/>
                <w:szCs w:val="24"/>
              </w:rPr>
              <w:t>哪些乐器。【播放一遍京剧选段视频】</w:t>
            </w:r>
          </w:p>
          <w:p>
            <w:pPr>
              <w:adjustRightInd w:val="0"/>
              <w:snapToGrid w:val="0"/>
              <w:spacing w:line="400" w:lineRule="exact"/>
              <w:ind w:firstLine="480"/>
              <w:rPr>
                <w:rFonts w:hint="default" w:ascii="华文新魏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/>
                <w:sz w:val="24"/>
                <w:szCs w:val="24"/>
              </w:rPr>
              <w:t>大家知道，京剧中有“生、旦、净、丑”四大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行当</w:t>
            </w:r>
            <w:r>
              <w:rPr>
                <w:rFonts w:hint="eastAsia" w:ascii="仿宋_GB2312"/>
                <w:sz w:val="24"/>
                <w:szCs w:val="24"/>
              </w:rPr>
              <w:t>，其中《甘洒热血写春秋》中的杨子荣则属于老生，老生唱腔具有铿锵有力、气势豪迈的特点，能够形象地塑造出杨子荣英勇威武的性格。这个京剧选段使用了板鼓、大锣、小锣、钹这几种乐器。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这些乐器的</w:t>
            </w:r>
            <w:r>
              <w:rPr>
                <w:rFonts w:hint="eastAsia" w:ascii="仿宋_GB2312"/>
                <w:sz w:val="24"/>
                <w:szCs w:val="24"/>
              </w:rPr>
              <w:t>主要作用是配合演员的身段动作、念白、演唱、武打等，使整个表演起止明确、节奏鲜明。我们把这种打击乐记谱方法就称为“锣鼓经”，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让我们一起来学一学吧！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spacing w:line="400" w:lineRule="exact"/>
              <w:ind w:left="34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内容讲授（第一部分）</w:t>
            </w:r>
          </w:p>
        </w:tc>
        <w:tc>
          <w:tcPr>
            <w:tcW w:w="23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华文行楷"/>
                <w:sz w:val="24"/>
                <w:szCs w:val="24"/>
              </w:rPr>
            </w:pPr>
            <w:r>
              <w:rPr>
                <w:rFonts w:hint="eastAsia" w:ascii="华文行楷"/>
                <w:sz w:val="24"/>
                <w:szCs w:val="24"/>
              </w:rPr>
              <w:t>详细介绍锣鼓经的概念及</w:t>
            </w:r>
            <w:r>
              <w:rPr>
                <w:rFonts w:hint="eastAsia" w:ascii="华文行楷"/>
                <w:sz w:val="24"/>
                <w:szCs w:val="24"/>
                <w:lang w:val="en-US" w:eastAsia="zh-CN"/>
              </w:rPr>
              <w:t>念</w:t>
            </w:r>
            <w:r>
              <w:rPr>
                <w:rFonts w:hint="eastAsia" w:ascii="华文行楷"/>
                <w:sz w:val="24"/>
                <w:szCs w:val="24"/>
              </w:rPr>
              <w:t>法，分别通过教师清唱示范</w:t>
            </w:r>
            <w:r>
              <w:rPr>
                <w:rFonts w:hint="eastAsia" w:ascii="华文行楷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华文行楷"/>
                <w:sz w:val="24"/>
                <w:szCs w:val="24"/>
                <w:lang w:val="en-US" w:eastAsia="zh-CN"/>
              </w:rPr>
              <w:t>加入动作练习、</w:t>
            </w:r>
            <w:r>
              <w:rPr>
                <w:rFonts w:hint="eastAsia" w:ascii="华文行楷"/>
                <w:sz w:val="24"/>
                <w:szCs w:val="24"/>
              </w:rPr>
              <w:t>学生</w:t>
            </w:r>
            <w:r>
              <w:rPr>
                <w:rFonts w:hint="eastAsia" w:ascii="华文行楷"/>
                <w:sz w:val="24"/>
                <w:szCs w:val="24"/>
                <w:lang w:val="en-US" w:eastAsia="zh-CN"/>
              </w:rPr>
              <w:t>用乐器演奏</w:t>
            </w:r>
            <w:r>
              <w:rPr>
                <w:rFonts w:hint="eastAsia" w:ascii="华文行楷"/>
                <w:sz w:val="24"/>
                <w:szCs w:val="24"/>
              </w:rPr>
              <w:t>的方式，加深对选段的理解。</w:t>
            </w:r>
          </w:p>
        </w:tc>
        <w:tc>
          <w:tcPr>
            <w:tcW w:w="529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华文新魏"/>
                <w:b/>
                <w:bCs/>
                <w:sz w:val="24"/>
                <w:szCs w:val="24"/>
              </w:rPr>
            </w:pPr>
            <w:r>
              <w:rPr>
                <w:rFonts w:hint="eastAsia" w:ascii="华文新魏"/>
                <w:b/>
                <w:bCs/>
                <w:sz w:val="24"/>
                <w:szCs w:val="24"/>
              </w:rPr>
              <w:t>教师：</w:t>
            </w:r>
          </w:p>
          <w:p>
            <w:pPr>
              <w:adjustRightInd w:val="0"/>
              <w:snapToGrid w:val="0"/>
              <w:spacing w:line="400" w:lineRule="exact"/>
              <w:ind w:firstLine="480"/>
              <w:rPr>
                <w:rFonts w:hint="eastAsia" w:ascii="仿宋_GB2312" w:eastAsia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每一个锣鼓经中的代音字，都是模仿乐器演奏的音响效果，用状声字来代表</w:t>
            </w:r>
            <w:r>
              <w:rPr>
                <w:rFonts w:hint="eastAsia" w:ascii="仿宋_GB2312"/>
                <w:sz w:val="24"/>
                <w:szCs w:val="24"/>
              </w:rPr>
              <w:t>。板鼓的声音雄厚，发出的声音类似于“大”；大锣的声音激昂，发出的声音念作“仓”；小锣的声音洪亮，发出的声音念作“台”；钹的声音清脆，发出的声音念作“才”。而在遇到休止符时，我们统一表述为“乙”；当鼓签轮奏时，我们用“嘟”的声音表示。</w:t>
            </w:r>
            <w:r>
              <w:rPr>
                <w:rFonts w:hint="eastAsia" w:ascii="仿宋_GB2312"/>
                <w:sz w:val="24"/>
                <w:szCs w:val="24"/>
                <w:lang w:eastAsia="zh-CN"/>
              </w:rPr>
              <w:t>【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PPT分别展现出来乐器图片和声音</w:t>
            </w:r>
            <w:r>
              <w:rPr>
                <w:rFonts w:hint="eastAsia" w:ascii="仿宋_GB2312"/>
                <w:sz w:val="24"/>
                <w:szCs w:val="24"/>
                <w:lang w:eastAsia="zh-CN"/>
              </w:rPr>
              <w:t>】</w:t>
            </w:r>
          </w:p>
          <w:p>
            <w:pPr>
              <w:adjustRightInd w:val="0"/>
              <w:snapToGrid w:val="0"/>
              <w:spacing w:line="400" w:lineRule="exact"/>
              <w:ind w:firstLine="480"/>
              <w:rPr>
                <w:rFonts w:ascii="华文新魏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在了解了锣鼓经的基本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念法</w:t>
            </w:r>
            <w:r>
              <w:rPr>
                <w:rFonts w:hint="eastAsia" w:ascii="仿宋_GB2312"/>
                <w:sz w:val="24"/>
                <w:szCs w:val="24"/>
              </w:rPr>
              <w:t>后，让我们为《甘洒热血写春秋》的尾段旋律伴奏吧！</w:t>
            </w:r>
          </w:p>
          <w:p>
            <w:pPr>
              <w:adjustRightInd w:val="0"/>
              <w:snapToGrid w:val="0"/>
              <w:spacing w:line="400" w:lineRule="exact"/>
              <w:ind w:firstLine="480"/>
              <w:rPr>
                <w:rFonts w:ascii="华文新魏"/>
                <w:sz w:val="24"/>
                <w:szCs w:val="24"/>
              </w:rPr>
            </w:pPr>
            <w:r>
              <w:rPr>
                <w:rFonts w:ascii="华文新魏"/>
                <w:sz w:val="24"/>
                <w:szCs w:val="24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168275</wp:posOffset>
                  </wp:positionH>
                  <wp:positionV relativeFrom="paragraph">
                    <wp:posOffset>101600</wp:posOffset>
                  </wp:positionV>
                  <wp:extent cx="3089275" cy="1426845"/>
                  <wp:effectExtent l="0" t="0" r="0" b="1905"/>
                  <wp:wrapNone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89275" cy="14268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adjustRightInd w:val="0"/>
              <w:snapToGrid w:val="0"/>
              <w:spacing w:line="400" w:lineRule="exact"/>
              <w:ind w:firstLine="480"/>
              <w:rPr>
                <w:rFonts w:ascii="华文新魏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400" w:lineRule="exact"/>
              <w:ind w:firstLine="480"/>
              <w:rPr>
                <w:rFonts w:ascii="华文新魏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400" w:lineRule="exact"/>
              <w:ind w:firstLine="480"/>
              <w:rPr>
                <w:rFonts w:ascii="华文新魏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400" w:lineRule="exact"/>
              <w:ind w:firstLine="480"/>
              <w:rPr>
                <w:rFonts w:ascii="华文新魏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400" w:lineRule="exact"/>
              <w:ind w:firstLine="480"/>
              <w:rPr>
                <w:rFonts w:hint="eastAsia" w:ascii="华文新魏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400" w:lineRule="exact"/>
              <w:ind w:firstLine="480"/>
              <w:rPr>
                <w:rFonts w:hint="default" w:ascii="华文新魏"/>
                <w:sz w:val="24"/>
                <w:szCs w:val="24"/>
                <w:lang w:val="en-US"/>
              </w:rPr>
            </w:pPr>
            <w:r>
              <w:rPr>
                <w:rFonts w:hint="eastAsia" w:ascii="华文新魏"/>
                <w:sz w:val="24"/>
                <w:szCs w:val="24"/>
              </w:rPr>
              <w:t>【教师清唱示范一遍锣鼓经】</w:t>
            </w:r>
            <w:r>
              <w:rPr>
                <w:rFonts w:hint="eastAsia" w:ascii="华文新魏"/>
                <w:sz w:val="24"/>
                <w:szCs w:val="24"/>
                <w:lang w:val="en-US" w:eastAsia="zh-CN"/>
              </w:rPr>
              <w:t>同学们你们学会了吗？现在，让我们一起把声势加入到锣鼓经的演奏中。当我们模仿</w:t>
            </w:r>
            <w:r>
              <w:rPr>
                <w:rFonts w:hint="eastAsia" w:ascii="仿宋_GB2312"/>
                <w:sz w:val="24"/>
                <w:szCs w:val="24"/>
              </w:rPr>
              <w:t>钹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的“才”声时，就跺跺脚，</w:t>
            </w:r>
            <w:r>
              <w:rPr>
                <w:rFonts w:hint="eastAsia" w:ascii="华文新魏"/>
                <w:sz w:val="24"/>
                <w:szCs w:val="24"/>
                <w:lang w:val="en-US" w:eastAsia="zh-CN"/>
              </w:rPr>
              <w:t>模仿小锣的“台”声时，就拍拍手。</w:t>
            </w:r>
            <w:r>
              <w:rPr>
                <w:rFonts w:hint="eastAsia" w:ascii="仿宋_GB2312"/>
                <w:sz w:val="24"/>
                <w:szCs w:val="24"/>
                <w:lang w:val="en-US" w:eastAsia="zh-CN"/>
              </w:rPr>
              <w:t>【教师动作示范一遍】同学们，大家都练习得怎么样了？</w:t>
            </w:r>
            <w:r>
              <w:rPr>
                <w:rFonts w:hint="eastAsia" w:ascii="华文新魏"/>
                <w:sz w:val="24"/>
                <w:szCs w:val="24"/>
              </w:rPr>
              <w:t>实践是检验真理的唯一标准，下面让我们</w:t>
            </w:r>
            <w:r>
              <w:rPr>
                <w:rFonts w:hint="eastAsia" w:ascii="华文新魏"/>
                <w:sz w:val="24"/>
                <w:szCs w:val="24"/>
                <w:lang w:val="en-US" w:eastAsia="zh-CN"/>
              </w:rPr>
              <w:t>念出锣鼓经，并配合上动作一起演奏一遍吧。【学生参与演奏】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  <w:jc w:val="center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（第二部分）</w:t>
            </w:r>
          </w:p>
        </w:tc>
        <w:tc>
          <w:tcPr>
            <w:tcW w:w="23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华文行楷"/>
                <w:sz w:val="24"/>
                <w:szCs w:val="24"/>
              </w:rPr>
            </w:pPr>
            <w:r>
              <w:rPr>
                <w:rFonts w:hint="eastAsia" w:ascii="华文行楷"/>
                <w:sz w:val="24"/>
                <w:szCs w:val="24"/>
              </w:rPr>
              <w:t>引入京剧</w:t>
            </w:r>
            <w:r>
              <w:rPr>
                <w:rFonts w:hint="eastAsia" w:ascii="华文新魏"/>
                <w:sz w:val="24"/>
                <w:szCs w:val="24"/>
              </w:rPr>
              <w:t>“唱、念、做、打”的基本功概念，通过</w:t>
            </w:r>
            <w:r>
              <w:rPr>
                <w:rFonts w:hint="eastAsia" w:ascii="华文新魏"/>
                <w:sz w:val="24"/>
                <w:szCs w:val="24"/>
                <w:lang w:val="en-US" w:eastAsia="zh-CN"/>
              </w:rPr>
              <w:t>欣赏京剧的</w:t>
            </w:r>
            <w:r>
              <w:rPr>
                <w:rFonts w:hint="eastAsia" w:ascii="华文新魏"/>
                <w:sz w:val="24"/>
                <w:szCs w:val="24"/>
              </w:rPr>
              <w:t>基本</w:t>
            </w:r>
            <w:r>
              <w:rPr>
                <w:rFonts w:hint="eastAsia" w:ascii="华文新魏"/>
                <w:sz w:val="24"/>
                <w:szCs w:val="24"/>
                <w:lang w:val="en-US" w:eastAsia="zh-CN"/>
              </w:rPr>
              <w:t>功（做、打）</w:t>
            </w:r>
            <w:r>
              <w:rPr>
                <w:rFonts w:hint="eastAsia" w:ascii="华文新魏"/>
                <w:sz w:val="24"/>
                <w:szCs w:val="24"/>
              </w:rPr>
              <w:t>，让学生在演唱</w:t>
            </w:r>
            <w:r>
              <w:rPr>
                <w:rFonts w:hint="eastAsia" w:ascii="华文新魏"/>
                <w:sz w:val="24"/>
                <w:szCs w:val="24"/>
                <w:lang w:val="en-US" w:eastAsia="zh-CN"/>
              </w:rPr>
              <w:t>和做打</w:t>
            </w:r>
            <w:r>
              <w:rPr>
                <w:rFonts w:hint="eastAsia" w:ascii="华文新魏"/>
                <w:sz w:val="24"/>
                <w:szCs w:val="24"/>
              </w:rPr>
              <w:t>结合过程中进一步体会京剧的魅力。</w:t>
            </w:r>
          </w:p>
        </w:tc>
        <w:tc>
          <w:tcPr>
            <w:tcW w:w="52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华文新魏"/>
                <w:b/>
                <w:bCs/>
                <w:sz w:val="24"/>
                <w:szCs w:val="24"/>
              </w:rPr>
            </w:pPr>
            <w:r>
              <w:rPr>
                <w:rFonts w:hint="eastAsia" w:ascii="华文新魏"/>
                <w:b/>
                <w:bCs/>
                <w:sz w:val="24"/>
                <w:szCs w:val="24"/>
              </w:rPr>
              <w:t>教师：</w:t>
            </w:r>
          </w:p>
          <w:p>
            <w:pPr>
              <w:adjustRightInd w:val="0"/>
              <w:snapToGrid w:val="0"/>
              <w:spacing w:line="400" w:lineRule="exact"/>
              <w:rPr>
                <w:rFonts w:ascii="华文新魏"/>
                <w:sz w:val="24"/>
                <w:szCs w:val="24"/>
              </w:rPr>
            </w:pPr>
            <w:r>
              <w:rPr>
                <w:rFonts w:hint="eastAsia" w:ascii="华文新魏"/>
                <w:sz w:val="24"/>
                <w:szCs w:val="24"/>
              </w:rPr>
              <w:t xml:space="preserve"> </w:t>
            </w:r>
            <w:r>
              <w:rPr>
                <w:rFonts w:ascii="华文新魏"/>
                <w:sz w:val="24"/>
                <w:szCs w:val="24"/>
              </w:rPr>
              <w:t xml:space="preserve">   </w:t>
            </w:r>
            <w:r>
              <w:rPr>
                <w:rFonts w:hint="eastAsia" w:ascii="华文新魏"/>
                <w:sz w:val="24"/>
                <w:szCs w:val="24"/>
              </w:rPr>
              <w:t>京剧表演的四项基本功分别是“唱、念、做、打”</w:t>
            </w:r>
            <w:r>
              <w:rPr>
                <w:rFonts w:hint="eastAsia" w:ascii="华文新魏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华文新魏"/>
                <w:sz w:val="24"/>
                <w:szCs w:val="24"/>
              </w:rPr>
              <w:t>我们刚才初步接触了唱和念的部分。一个优秀的戏曲演员不仅要有高超的唱功，同时也要有优美的身段。接下来，老师</w:t>
            </w:r>
            <w:r>
              <w:rPr>
                <w:rFonts w:hint="eastAsia" w:ascii="华文新魏"/>
                <w:sz w:val="24"/>
                <w:szCs w:val="24"/>
                <w:lang w:val="en-US" w:eastAsia="zh-CN"/>
              </w:rPr>
              <w:t>展示</w:t>
            </w:r>
            <w:r>
              <w:rPr>
                <w:rFonts w:hint="eastAsia" w:ascii="华文新魏"/>
                <w:sz w:val="24"/>
                <w:szCs w:val="24"/>
              </w:rPr>
              <w:t>给各位同学几个最基础的京剧基本功，请大家在实践中仔细体验“唱、念、做、打”的融合。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spacing w:line="400" w:lineRule="exact"/>
              <w:ind w:left="34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总结</w:t>
            </w:r>
          </w:p>
        </w:tc>
        <w:tc>
          <w:tcPr>
            <w:tcW w:w="23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华文新魏"/>
                <w:sz w:val="24"/>
                <w:szCs w:val="24"/>
              </w:rPr>
            </w:pPr>
            <w:r>
              <w:rPr>
                <w:rFonts w:hint="eastAsia" w:ascii="华文新魏"/>
                <w:sz w:val="24"/>
                <w:szCs w:val="24"/>
              </w:rPr>
              <w:t>升华主旨，引出对传统艺术的保护和传承。</w:t>
            </w:r>
          </w:p>
        </w:tc>
        <w:tc>
          <w:tcPr>
            <w:tcW w:w="529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ind w:firstLine="480"/>
              <w:rPr>
                <w:rFonts w:ascii="华文新魏"/>
                <w:sz w:val="24"/>
                <w:szCs w:val="24"/>
              </w:rPr>
            </w:pPr>
            <w:r>
              <w:rPr>
                <w:rFonts w:hint="eastAsia" w:ascii="华文新魏"/>
                <w:sz w:val="24"/>
                <w:szCs w:val="24"/>
              </w:rPr>
              <w:t>悠久的历史，高度程式化的表演规律，以及丰富辉煌的名家流派，为京剧奠定了独树一帜的艺术特点，使得京剧成为我们国家的国粹。</w:t>
            </w:r>
            <w:r>
              <w:rPr>
                <w:rFonts w:hint="eastAsia" w:ascii="仿宋_GB2312"/>
                <w:sz w:val="24"/>
                <w:szCs w:val="24"/>
              </w:rPr>
              <w:t>希望未来同学们能够将我们的艺术瑰宝发扬光大，走出中国，走向世界。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spacing w:line="400" w:lineRule="exact"/>
              <w:ind w:left="34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结尾</w:t>
            </w:r>
          </w:p>
        </w:tc>
        <w:tc>
          <w:tcPr>
            <w:tcW w:w="23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华文新魏"/>
                <w:sz w:val="24"/>
                <w:szCs w:val="24"/>
              </w:rPr>
            </w:pPr>
          </w:p>
        </w:tc>
        <w:tc>
          <w:tcPr>
            <w:tcW w:w="529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华文新魏"/>
                <w:b/>
                <w:bCs/>
                <w:sz w:val="24"/>
                <w:szCs w:val="24"/>
              </w:rPr>
            </w:pPr>
            <w:r>
              <w:rPr>
                <w:rFonts w:hint="eastAsia" w:ascii="华文新魏"/>
                <w:b/>
                <w:bCs/>
                <w:sz w:val="24"/>
                <w:szCs w:val="24"/>
              </w:rPr>
              <w:t>教师：</w:t>
            </w:r>
          </w:p>
          <w:p>
            <w:pPr>
              <w:adjustRightInd w:val="0"/>
              <w:snapToGrid w:val="0"/>
              <w:spacing w:line="400" w:lineRule="exact"/>
              <w:rPr>
                <w:rFonts w:ascii="华文新魏"/>
                <w:sz w:val="24"/>
                <w:szCs w:val="24"/>
              </w:rPr>
            </w:pPr>
            <w:r>
              <w:rPr>
                <w:rFonts w:hint="eastAsia" w:ascii="华文新魏"/>
                <w:sz w:val="24"/>
                <w:szCs w:val="24"/>
              </w:rPr>
              <w:t>以上就是本节课的全部内容，谢谢大家的观看。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F8C29A6"/>
    <w:multiLevelType w:val="multilevel"/>
    <w:tmpl w:val="0F8C29A6"/>
    <w:lvl w:ilvl="0" w:tentative="0">
      <w:start w:val="1"/>
      <w:numFmt w:val="chineseCounting"/>
      <w:suff w:val="nothing"/>
      <w:lvlText w:val="%1、"/>
      <w:lvlJc w:val="left"/>
      <w:pPr>
        <w:ind w:left="1560" w:firstLine="0"/>
      </w:pPr>
      <w:rPr>
        <w:rFonts w:hint="default" w:ascii="Times New Roman" w:hAnsi="Times New Roman" w:cs="Times New Roma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c2ZTIzNjk5NmRiZGVhMzRkNzllZDllYzVmZjQ4ZGQifQ=="/>
  </w:docVars>
  <w:rsids>
    <w:rsidRoot w:val="0D49711C"/>
    <w:rsid w:val="00045AE3"/>
    <w:rsid w:val="00084BA9"/>
    <w:rsid w:val="000C1BEC"/>
    <w:rsid w:val="000F180B"/>
    <w:rsid w:val="00105F1A"/>
    <w:rsid w:val="001F2ABD"/>
    <w:rsid w:val="0022447B"/>
    <w:rsid w:val="00251B5D"/>
    <w:rsid w:val="002D5EAC"/>
    <w:rsid w:val="002E44FA"/>
    <w:rsid w:val="002F2B72"/>
    <w:rsid w:val="00383AC0"/>
    <w:rsid w:val="00406155"/>
    <w:rsid w:val="00414A9C"/>
    <w:rsid w:val="004A44CF"/>
    <w:rsid w:val="004A7D04"/>
    <w:rsid w:val="004D5004"/>
    <w:rsid w:val="0050432A"/>
    <w:rsid w:val="005951F3"/>
    <w:rsid w:val="005A07C4"/>
    <w:rsid w:val="005A1128"/>
    <w:rsid w:val="006429B2"/>
    <w:rsid w:val="006A3CE4"/>
    <w:rsid w:val="0070334F"/>
    <w:rsid w:val="007A3B15"/>
    <w:rsid w:val="008021AE"/>
    <w:rsid w:val="00802BC2"/>
    <w:rsid w:val="00814563"/>
    <w:rsid w:val="008304AE"/>
    <w:rsid w:val="00886308"/>
    <w:rsid w:val="008B2840"/>
    <w:rsid w:val="009116BA"/>
    <w:rsid w:val="009539B3"/>
    <w:rsid w:val="00983FB5"/>
    <w:rsid w:val="00986A2C"/>
    <w:rsid w:val="009C049D"/>
    <w:rsid w:val="009C3BF1"/>
    <w:rsid w:val="009D0AFE"/>
    <w:rsid w:val="009F2C33"/>
    <w:rsid w:val="00A9735F"/>
    <w:rsid w:val="00AC15DF"/>
    <w:rsid w:val="00AD3D01"/>
    <w:rsid w:val="00B336BA"/>
    <w:rsid w:val="00B6357C"/>
    <w:rsid w:val="00BB55FB"/>
    <w:rsid w:val="00C10E09"/>
    <w:rsid w:val="00C72464"/>
    <w:rsid w:val="00CF6E60"/>
    <w:rsid w:val="00DD3E79"/>
    <w:rsid w:val="00DD54FE"/>
    <w:rsid w:val="00DF03B3"/>
    <w:rsid w:val="00FE0B8F"/>
    <w:rsid w:val="02CC58B9"/>
    <w:rsid w:val="0480369E"/>
    <w:rsid w:val="065D4096"/>
    <w:rsid w:val="08A22A20"/>
    <w:rsid w:val="0D49711C"/>
    <w:rsid w:val="0EAD5FD2"/>
    <w:rsid w:val="0F466306"/>
    <w:rsid w:val="11C04BF9"/>
    <w:rsid w:val="12635AA8"/>
    <w:rsid w:val="15010342"/>
    <w:rsid w:val="158D2A9D"/>
    <w:rsid w:val="1ADF389D"/>
    <w:rsid w:val="25C84D63"/>
    <w:rsid w:val="2869751D"/>
    <w:rsid w:val="2C6A5D64"/>
    <w:rsid w:val="2DD87A3E"/>
    <w:rsid w:val="30FB3F8E"/>
    <w:rsid w:val="36F576E0"/>
    <w:rsid w:val="37403D5B"/>
    <w:rsid w:val="41AF5726"/>
    <w:rsid w:val="466A4950"/>
    <w:rsid w:val="469948C7"/>
    <w:rsid w:val="46A21030"/>
    <w:rsid w:val="494844E2"/>
    <w:rsid w:val="555F066A"/>
    <w:rsid w:val="57686C8A"/>
    <w:rsid w:val="58B426DE"/>
    <w:rsid w:val="5DC34C1A"/>
    <w:rsid w:val="6B855C05"/>
    <w:rsid w:val="6EEA42D1"/>
    <w:rsid w:val="768B668A"/>
    <w:rsid w:val="7862402C"/>
    <w:rsid w:val="797A48CF"/>
    <w:rsid w:val="7A546ECE"/>
    <w:rsid w:val="7BED5CEF"/>
    <w:rsid w:val="7F1F6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0"/>
    <w:rPr>
      <w:rFonts w:ascii="Calibri" w:hAnsi="Calibri" w:eastAsia="宋体" w:cs="Calibri"/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rFonts w:ascii="Calibri" w:hAnsi="Calibri" w:eastAsia="宋体" w:cs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1592</Words>
  <Characters>1597</Characters>
  <Lines>11</Lines>
  <Paragraphs>3</Paragraphs>
  <TotalTime>0</TotalTime>
  <ScaleCrop>false</ScaleCrop>
  <LinksUpToDate>false</LinksUpToDate>
  <CharactersWithSpaces>1612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2022-11-13T07:26:00Z</dcterms:created>
  <dc:creator>A</dc:creator>
  <cp:lastModifiedBy>罗鸣</cp:lastModifiedBy>
  <dcterms:modified xsi:type="dcterms:W3CDTF">2022-12-01T05:59:15Z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0FC5BC05E1EF4559A15A497B95FFB5EF</vt:lpwstr>
  </property>
</Properties>
</file>